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1B4864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 xml:space="preserve">11 апреля 2024 года в 18:00 в конференц-зале по адресу: г. Норильск, Ленинский проспект, 24а, состоятся публичные слушания </w:t>
      </w:r>
      <w:r>
        <w:rPr>
          <w:rFonts w:eastAsiaTheme="minorEastAsia" w:cstheme="minorBidi"/>
        </w:rPr>
        <w:t>по вопросу</w:t>
      </w:r>
      <w:r>
        <w:rPr>
          <w:rFonts w:eastAsiaTheme="minorEastAsia" w:cstheme="minorBidi"/>
        </w:rPr>
        <w:t xml:space="preserve">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>
      <w:bookmarkStart w:id="0" w:name="_GoBack"/>
      <w:bookmarkEnd w:id="0"/>
    </w:p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434FBC"/>
    <w:rsid w:val="005D6922"/>
    <w:rsid w:val="00707BFC"/>
    <w:rsid w:val="009C2ADD"/>
    <w:rsid w:val="00BC5728"/>
    <w:rsid w:val="00C43DE5"/>
    <w:rsid w:val="00D063C3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065E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7</cp:revision>
  <dcterms:created xsi:type="dcterms:W3CDTF">2022-02-02T01:38:00Z</dcterms:created>
  <dcterms:modified xsi:type="dcterms:W3CDTF">2024-03-14T07:33:00Z</dcterms:modified>
</cp:coreProperties>
</file>